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2167B" w14:textId="77777777" w:rsidR="003C742A" w:rsidRDefault="000E6D0C" w:rsidP="003C742A">
      <w:pPr>
        <w:ind w:left="0"/>
        <w:jc w:val="right"/>
        <w:rPr>
          <w:rFonts w:ascii="Calibri" w:hAnsi="Calibri" w:cs="Arial"/>
          <w:b/>
          <w:sz w:val="24"/>
          <w:szCs w:val="24"/>
        </w:rPr>
      </w:pPr>
      <w:r w:rsidRPr="00FA06AC">
        <w:rPr>
          <w:rFonts w:ascii="Calibri" w:hAnsi="Calibri" w:cs="Arial"/>
          <w:b/>
          <w:noProof/>
          <w:sz w:val="24"/>
          <w:szCs w:val="24"/>
          <w:lang w:eastAsia="de-DE"/>
        </w:rPr>
        <w:drawing>
          <wp:inline distT="0" distB="0" distL="0" distR="0" wp14:anchorId="02A672A6" wp14:editId="4688EBF3">
            <wp:extent cx="1819275" cy="733425"/>
            <wp:effectExtent l="19050" t="0" r="9525"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5" cstate="print"/>
                    <a:stretch>
                      <a:fillRect/>
                    </a:stretch>
                  </pic:blipFill>
                  <pic:spPr>
                    <a:xfrm>
                      <a:off x="0" y="0"/>
                      <a:ext cx="1819275" cy="733425"/>
                    </a:xfrm>
                    <a:prstGeom prst="rect">
                      <a:avLst/>
                    </a:prstGeom>
                  </pic:spPr>
                </pic:pic>
              </a:graphicData>
            </a:graphic>
          </wp:inline>
        </w:drawing>
      </w:r>
    </w:p>
    <w:p w14:paraId="78AE80C3" w14:textId="77777777" w:rsidR="00685A15" w:rsidRDefault="00685A15" w:rsidP="003C742A">
      <w:pPr>
        <w:ind w:left="0"/>
        <w:jc w:val="left"/>
        <w:rPr>
          <w:rFonts w:ascii="Calibri" w:hAnsi="Calibri" w:cs="Arial"/>
          <w:b/>
          <w:sz w:val="24"/>
          <w:szCs w:val="24"/>
        </w:rPr>
      </w:pPr>
    </w:p>
    <w:p w14:paraId="1933A5BA" w14:textId="69F42A5C" w:rsidR="00C8297E" w:rsidRDefault="00C8297E" w:rsidP="00C8297E">
      <w:pPr>
        <w:ind w:left="0"/>
        <w:jc w:val="right"/>
        <w:rPr>
          <w:rFonts w:ascii="Calibri" w:hAnsi="Calibri" w:cs="Arial"/>
        </w:rPr>
      </w:pPr>
      <w:r w:rsidRPr="00EC64B1">
        <w:rPr>
          <w:rFonts w:ascii="Calibri" w:hAnsi="Calibri" w:cs="Arial"/>
        </w:rPr>
        <w:t xml:space="preserve">Hannover, </w:t>
      </w:r>
      <w:r w:rsidR="006E7D16">
        <w:rPr>
          <w:rFonts w:ascii="Calibri" w:hAnsi="Calibri" w:cs="Arial"/>
        </w:rPr>
        <w:t>0</w:t>
      </w:r>
      <w:r w:rsidR="00DA78EE">
        <w:rPr>
          <w:rFonts w:ascii="Calibri" w:hAnsi="Calibri" w:cs="Arial"/>
        </w:rPr>
        <w:t>1</w:t>
      </w:r>
      <w:r>
        <w:rPr>
          <w:rFonts w:ascii="Calibri" w:hAnsi="Calibri" w:cs="Arial"/>
        </w:rPr>
        <w:t>.</w:t>
      </w:r>
      <w:r w:rsidR="00C11B00">
        <w:rPr>
          <w:rFonts w:ascii="Calibri" w:hAnsi="Calibri" w:cs="Arial"/>
        </w:rPr>
        <w:t>1</w:t>
      </w:r>
      <w:r w:rsidR="00DA78EE">
        <w:rPr>
          <w:rFonts w:ascii="Calibri" w:hAnsi="Calibri" w:cs="Arial"/>
        </w:rPr>
        <w:t>1</w:t>
      </w:r>
      <w:r w:rsidR="0075272C">
        <w:rPr>
          <w:rFonts w:ascii="Calibri" w:hAnsi="Calibri" w:cs="Arial"/>
        </w:rPr>
        <w:t>.20</w:t>
      </w:r>
      <w:r w:rsidR="0068374F">
        <w:rPr>
          <w:rFonts w:ascii="Calibri" w:hAnsi="Calibri" w:cs="Arial"/>
        </w:rPr>
        <w:t>2</w:t>
      </w:r>
      <w:r w:rsidR="00B03C0E">
        <w:rPr>
          <w:rFonts w:ascii="Calibri" w:hAnsi="Calibri" w:cs="Arial"/>
        </w:rPr>
        <w:t>2</w:t>
      </w:r>
    </w:p>
    <w:p w14:paraId="6D69992C" w14:textId="77777777" w:rsidR="00C8297E" w:rsidRPr="00EC64B1" w:rsidRDefault="00C8297E" w:rsidP="00C11B00">
      <w:pPr>
        <w:spacing w:before="0"/>
        <w:ind w:left="0"/>
        <w:jc w:val="right"/>
        <w:rPr>
          <w:rFonts w:ascii="Calibri" w:hAnsi="Calibri" w:cs="Arial"/>
        </w:rPr>
      </w:pPr>
    </w:p>
    <w:p w14:paraId="07262D91" w14:textId="77777777" w:rsidR="003C742A" w:rsidRPr="00174F07" w:rsidRDefault="003C742A" w:rsidP="003C742A">
      <w:pPr>
        <w:ind w:left="0"/>
        <w:jc w:val="left"/>
        <w:rPr>
          <w:rFonts w:ascii="Calibri" w:hAnsi="Calibri" w:cs="Arial"/>
          <w:b/>
          <w:sz w:val="26"/>
        </w:rPr>
      </w:pPr>
      <w:r w:rsidRPr="00174F07">
        <w:rPr>
          <w:b/>
          <w:sz w:val="26"/>
        </w:rPr>
        <w:t>Presse-Information des Deutschen Kälte- und Klimatechnischen Vereins</w:t>
      </w:r>
    </w:p>
    <w:p w14:paraId="5EAEBB76" w14:textId="77777777" w:rsidR="000E6D0C" w:rsidRDefault="000E6D0C" w:rsidP="00DE1BD5">
      <w:pPr>
        <w:spacing w:before="0"/>
        <w:ind w:left="0"/>
        <w:jc w:val="both"/>
        <w:rPr>
          <w:rFonts w:ascii="Calibri" w:hAnsi="Calibri" w:cs="Arial"/>
          <w:b/>
        </w:rPr>
      </w:pPr>
    </w:p>
    <w:p w14:paraId="705A8903" w14:textId="1AE6569F" w:rsidR="00174F07" w:rsidRPr="00EC64B1" w:rsidRDefault="00B279D8" w:rsidP="00DE1BD5">
      <w:pPr>
        <w:spacing w:before="0"/>
        <w:ind w:left="0"/>
        <w:jc w:val="both"/>
        <w:rPr>
          <w:rFonts w:ascii="Calibri" w:hAnsi="Calibri" w:cs="Arial"/>
          <w:b/>
        </w:rPr>
      </w:pPr>
      <w:r>
        <w:rPr>
          <w:rFonts w:ascii="Calibri" w:hAnsi="Calibri" w:cs="Arial"/>
          <w:b/>
        </w:rPr>
        <w:t xml:space="preserve">DKV-Tagung 2022 in Magdeburg – </w:t>
      </w:r>
      <w:r w:rsidR="00DA78EE">
        <w:rPr>
          <w:rFonts w:ascii="Calibri" w:hAnsi="Calibri" w:cs="Arial"/>
          <w:b/>
        </w:rPr>
        <w:t>Komponenten de</w:t>
      </w:r>
      <w:r w:rsidR="00335A74" w:rsidRPr="00AA372D">
        <w:rPr>
          <w:b/>
        </w:rPr>
        <w:t>r Kälte- und Wärmepumpentechnik</w:t>
      </w:r>
    </w:p>
    <w:p w14:paraId="20DF5305" w14:textId="5827B427" w:rsidR="00F81CDB" w:rsidRDefault="00F81CDB" w:rsidP="00174F07">
      <w:pPr>
        <w:spacing w:before="0"/>
        <w:ind w:left="0" w:right="85"/>
        <w:jc w:val="both"/>
      </w:pPr>
    </w:p>
    <w:p w14:paraId="4BA0BEAE" w14:textId="77777777" w:rsidR="00DA78EE" w:rsidRDefault="00DA78EE" w:rsidP="00DA78EE">
      <w:pPr>
        <w:jc w:val="both"/>
      </w:pPr>
      <w:r>
        <w:t>Die parallel stattfindenden Vorträge der einzelnen Arbeitsabteilungen ermöglichen jedem Teilnehmer (m/w/d) ein auf seine Bedürfnisse und Interessen individuell zugeschnittenes Tagungsprogramm zu gestalten. Dies ist möglich, da die parallelen Vortrags- und Pausenzeiten synchronisiert sind und zweitens die einzelnen Vorträge in Themenblöcken so geplant sind, dass bei einer „Quervernetzung“ für viele Themenschwerpunkte ein roter Faden gezogen werden kann.</w:t>
      </w:r>
    </w:p>
    <w:p w14:paraId="70C00315" w14:textId="77777777" w:rsidR="00DA78EE" w:rsidRDefault="00DA78EE" w:rsidP="00DA78EE">
      <w:pPr>
        <w:jc w:val="both"/>
      </w:pPr>
      <w:r>
        <w:t>In der Arbeitsabteilung II.2 werden folgende Themenblöcke (in chronologischer Reihenfolge) angeboten:</w:t>
      </w:r>
    </w:p>
    <w:p w14:paraId="11432FB9" w14:textId="77777777" w:rsidR="00DA78EE" w:rsidRPr="00ED769E" w:rsidRDefault="00DA78EE" w:rsidP="00DA78EE">
      <w:pPr>
        <w:pStyle w:val="Listenabsatz"/>
        <w:numPr>
          <w:ilvl w:val="0"/>
          <w:numId w:val="6"/>
        </w:numPr>
        <w:spacing w:before="0" w:after="160" w:line="259" w:lineRule="auto"/>
        <w:ind w:right="0"/>
        <w:jc w:val="left"/>
      </w:pPr>
      <w:r w:rsidRPr="00CF3AA6">
        <w:rPr>
          <w:b/>
          <w:bCs/>
        </w:rPr>
        <w:t xml:space="preserve">Wärmepumpen </w:t>
      </w:r>
      <w:r w:rsidRPr="00CF3AA6">
        <w:rPr>
          <w:b/>
          <w:bCs/>
        </w:rPr>
        <w:br/>
      </w:r>
      <w:r>
        <w:t>Vorträge über Kältemittel für kleine und große Leistungen, Modellierung und Optimierung, Absorptionsanlagen</w:t>
      </w:r>
    </w:p>
    <w:p w14:paraId="598A7FAE" w14:textId="77777777" w:rsidR="00DA78EE" w:rsidRPr="00ED769E" w:rsidRDefault="00DA78EE" w:rsidP="00DA78EE">
      <w:pPr>
        <w:pStyle w:val="Listenabsatz"/>
        <w:numPr>
          <w:ilvl w:val="0"/>
          <w:numId w:val="6"/>
        </w:numPr>
        <w:spacing w:before="0" w:after="160" w:line="259" w:lineRule="auto"/>
        <w:ind w:right="0"/>
        <w:jc w:val="left"/>
      </w:pPr>
      <w:r w:rsidRPr="008E0A11">
        <w:rPr>
          <w:b/>
          <w:bCs/>
        </w:rPr>
        <w:t>Verdichter</w:t>
      </w:r>
      <w:r>
        <w:br/>
        <w:t>Vorträge über Flüssigkeitseintrag, Modellbasierte Analyse, Ejektoren, Polynome</w:t>
      </w:r>
    </w:p>
    <w:p w14:paraId="31512E3F" w14:textId="77777777" w:rsidR="00DA78EE" w:rsidRPr="00ED769E" w:rsidRDefault="00DA78EE" w:rsidP="00DA78EE">
      <w:pPr>
        <w:pStyle w:val="Listenabsatz"/>
        <w:numPr>
          <w:ilvl w:val="0"/>
          <w:numId w:val="6"/>
        </w:numPr>
        <w:spacing w:before="0" w:after="160" w:line="259" w:lineRule="auto"/>
        <w:ind w:right="0"/>
        <w:jc w:val="left"/>
      </w:pPr>
      <w:proofErr w:type="spellStart"/>
      <w:r w:rsidRPr="008E0A11">
        <w:rPr>
          <w:b/>
          <w:bCs/>
        </w:rPr>
        <w:t>Wärmeübertrager</w:t>
      </w:r>
      <w:proofErr w:type="spellEnd"/>
      <w:r>
        <w:br/>
        <w:t xml:space="preserve">Vorträge über Messtechnische Erfassung bei Fehlern, Füllmengenberechnungen, experimenteller Vergleich von Abtaumethoden, hocheffiziente </w:t>
      </w:r>
      <w:proofErr w:type="spellStart"/>
      <w:r>
        <w:t>Ventilatorsysteme</w:t>
      </w:r>
      <w:proofErr w:type="spellEnd"/>
      <w:r>
        <w:t>, Berechnungstool für Effizienzsteigerungen von R744-Anlagen, sichere Verwendung von brennbaren Kältemitteln usw.</w:t>
      </w:r>
    </w:p>
    <w:p w14:paraId="12680047" w14:textId="77777777" w:rsidR="00DA78EE" w:rsidRPr="00ED769E" w:rsidRDefault="00DA78EE" w:rsidP="00DA78EE">
      <w:pPr>
        <w:pStyle w:val="Listenabsatz"/>
        <w:numPr>
          <w:ilvl w:val="0"/>
          <w:numId w:val="6"/>
        </w:numPr>
        <w:spacing w:before="0" w:after="160" w:line="259" w:lineRule="auto"/>
        <w:ind w:right="0"/>
        <w:jc w:val="left"/>
      </w:pPr>
      <w:r w:rsidRPr="008E0A11">
        <w:rPr>
          <w:b/>
          <w:bCs/>
        </w:rPr>
        <w:t>Kälteanlagentechnik</w:t>
      </w:r>
      <w:r>
        <w:br/>
        <w:t>Vorträge über Speicheraktivierung, R717-Verdichter-Verbundanlagen mit halbhermetischen Hubkolbenverdichtern, Monitoring usw.</w:t>
      </w:r>
    </w:p>
    <w:p w14:paraId="3ADF7205" w14:textId="77777777" w:rsidR="00DA78EE" w:rsidRDefault="00DA78EE" w:rsidP="00DA78EE">
      <w:pPr>
        <w:pStyle w:val="Listenabsatz"/>
        <w:numPr>
          <w:ilvl w:val="0"/>
          <w:numId w:val="6"/>
        </w:numPr>
        <w:spacing w:before="0" w:after="160" w:line="259" w:lineRule="auto"/>
        <w:ind w:right="0"/>
        <w:jc w:val="left"/>
      </w:pPr>
      <w:r w:rsidRPr="008E0A11">
        <w:rPr>
          <w:b/>
          <w:bCs/>
        </w:rPr>
        <w:t>Adiabatische Kühlung/Vorkühlung</w:t>
      </w:r>
      <w:r w:rsidRPr="00ED769E">
        <w:t xml:space="preserve"> (inkl. Diskussionsrunde)</w:t>
      </w:r>
      <w:r>
        <w:br/>
        <w:t xml:space="preserve">Vortrag Bestimmung von EER und SEER mit der </w:t>
      </w:r>
      <w:proofErr w:type="spellStart"/>
      <w:r>
        <w:t>Sensivitätsanalyse</w:t>
      </w:r>
      <w:proofErr w:type="spellEnd"/>
      <w:r>
        <w:t>, Diskussionsrunde Adiabatische Vorkühlung des Gaskühlers von R744-Kälteanlagen</w:t>
      </w:r>
    </w:p>
    <w:p w14:paraId="2925F592" w14:textId="77777777" w:rsidR="00DA78EE" w:rsidRDefault="00DA78EE" w:rsidP="00DA78EE">
      <w:pPr>
        <w:jc w:val="both"/>
      </w:pPr>
      <w:r>
        <w:t>Nicht zu unterschätzen ist die Möglichkeit, in Pausen, vor und nach den einzelnen Vorträgen, individuelle Gespräche mit anderen Tagungsteilnehmern zu führen, sich weiter zu vernetzen und eventuell gemeinsame zukünftige Aktivitäten zu erörtern. Daher ist DKV-Jahrestagung in dieser Präsenzform mit diesen Inhalten durch keine anderen Online- oder Präsenz-Veranstaltungen ersetzbar.</w:t>
      </w:r>
    </w:p>
    <w:p w14:paraId="18161D20" w14:textId="3C02B056" w:rsidR="006E7D16" w:rsidRPr="00DA78EE" w:rsidRDefault="006E7D16" w:rsidP="00DA78EE">
      <w:pPr>
        <w:spacing w:before="0"/>
        <w:ind w:left="0" w:right="85"/>
        <w:jc w:val="both"/>
        <w:rPr>
          <w:sz w:val="20"/>
          <w:szCs w:val="20"/>
        </w:rPr>
      </w:pPr>
      <w:bookmarkStart w:id="0" w:name="_GoBack"/>
      <w:bookmarkEnd w:id="0"/>
    </w:p>
    <w:p w14:paraId="06370FA4" w14:textId="77777777" w:rsidR="00B279D8" w:rsidRDefault="00B279D8" w:rsidP="00174F07">
      <w:pPr>
        <w:spacing w:before="0"/>
        <w:ind w:left="0" w:right="85"/>
        <w:jc w:val="both"/>
      </w:pPr>
    </w:p>
    <w:p w14:paraId="70E1126B" w14:textId="77777777" w:rsidR="00174F07" w:rsidRDefault="003C742A" w:rsidP="00174F07">
      <w:pPr>
        <w:spacing w:before="0" w:after="120"/>
        <w:ind w:left="0"/>
        <w:jc w:val="left"/>
      </w:pPr>
      <w:r w:rsidRPr="003C742A">
        <w:t>Ansprechpartner</w:t>
      </w:r>
      <w:r w:rsidR="00174F07">
        <w:t>in</w:t>
      </w:r>
      <w:r w:rsidRPr="003C742A">
        <w:t xml:space="preserve"> für Presse und Medien: </w:t>
      </w:r>
    </w:p>
    <w:p w14:paraId="058C807F" w14:textId="77777777" w:rsidR="003C742A" w:rsidRPr="003C742A" w:rsidRDefault="003C742A" w:rsidP="00DE1BD5">
      <w:pPr>
        <w:spacing w:before="0"/>
        <w:ind w:left="0"/>
        <w:jc w:val="left"/>
      </w:pPr>
      <w:r w:rsidRPr="003C742A">
        <w:t>Dipl.-Ing. Dipl.-Wirt.-Ing. Carmen Stadtländer</w:t>
      </w:r>
    </w:p>
    <w:p w14:paraId="7A2A31B8" w14:textId="039F2980" w:rsidR="003C742A" w:rsidRPr="003C742A" w:rsidRDefault="003C742A" w:rsidP="00DE1BD5">
      <w:pPr>
        <w:spacing w:before="0"/>
        <w:ind w:left="0"/>
        <w:jc w:val="left"/>
      </w:pPr>
      <w:r w:rsidRPr="003C742A">
        <w:t xml:space="preserve">Tel.  +49 (0) 511 89 708 14 </w:t>
      </w:r>
    </w:p>
    <w:p w14:paraId="1DD4AABA" w14:textId="0C07D477" w:rsidR="003C742A" w:rsidRPr="00FA06AC" w:rsidRDefault="003C742A" w:rsidP="00C11B00">
      <w:pPr>
        <w:spacing w:before="0"/>
        <w:ind w:left="0"/>
        <w:jc w:val="left"/>
        <w:rPr>
          <w:rFonts w:ascii="Calibri" w:hAnsi="Calibri"/>
          <w:b/>
          <w:szCs w:val="24"/>
        </w:rPr>
      </w:pPr>
      <w:r w:rsidRPr="003C742A">
        <w:t>info@dkv.org</w:t>
      </w:r>
    </w:p>
    <w:sectPr w:rsidR="003C742A" w:rsidRPr="00FA06AC" w:rsidSect="00C11B00">
      <w:pgSz w:w="11906" w:h="16838"/>
      <w:pgMar w:top="1021"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3E8C"/>
    <w:multiLevelType w:val="hybridMultilevel"/>
    <w:tmpl w:val="C18CA0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3A5348"/>
    <w:multiLevelType w:val="hybridMultilevel"/>
    <w:tmpl w:val="84C29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B32C3C"/>
    <w:multiLevelType w:val="hybridMultilevel"/>
    <w:tmpl w:val="70FCD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6151E"/>
    <w:multiLevelType w:val="hybridMultilevel"/>
    <w:tmpl w:val="AA38D9F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72C54B87"/>
    <w:multiLevelType w:val="hybridMultilevel"/>
    <w:tmpl w:val="798E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B7FC1"/>
    <w:multiLevelType w:val="hybridMultilevel"/>
    <w:tmpl w:val="E07C7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68"/>
    <w:rsid w:val="000451D6"/>
    <w:rsid w:val="00076EEB"/>
    <w:rsid w:val="0007750F"/>
    <w:rsid w:val="00087566"/>
    <w:rsid w:val="00097D43"/>
    <w:rsid w:val="000A1CA6"/>
    <w:rsid w:val="000C0BD7"/>
    <w:rsid w:val="000D13C6"/>
    <w:rsid w:val="000E6D0C"/>
    <w:rsid w:val="00160526"/>
    <w:rsid w:val="00174F07"/>
    <w:rsid w:val="002026DA"/>
    <w:rsid w:val="002228A5"/>
    <w:rsid w:val="00295B02"/>
    <w:rsid w:val="002D00D3"/>
    <w:rsid w:val="002D6151"/>
    <w:rsid w:val="00335A74"/>
    <w:rsid w:val="0036608E"/>
    <w:rsid w:val="003A3746"/>
    <w:rsid w:val="003B2644"/>
    <w:rsid w:val="003C742A"/>
    <w:rsid w:val="003D2BD6"/>
    <w:rsid w:val="00435DFF"/>
    <w:rsid w:val="00446154"/>
    <w:rsid w:val="004E4087"/>
    <w:rsid w:val="00517A68"/>
    <w:rsid w:val="00552C54"/>
    <w:rsid w:val="005533FD"/>
    <w:rsid w:val="005667A9"/>
    <w:rsid w:val="0057608F"/>
    <w:rsid w:val="00577C1C"/>
    <w:rsid w:val="005F5484"/>
    <w:rsid w:val="00600C06"/>
    <w:rsid w:val="0068374F"/>
    <w:rsid w:val="00685A15"/>
    <w:rsid w:val="006E7D16"/>
    <w:rsid w:val="00720136"/>
    <w:rsid w:val="00733D37"/>
    <w:rsid w:val="0075272C"/>
    <w:rsid w:val="007E0C2C"/>
    <w:rsid w:val="0080316A"/>
    <w:rsid w:val="00845C75"/>
    <w:rsid w:val="008F326A"/>
    <w:rsid w:val="00911808"/>
    <w:rsid w:val="009B6F3E"/>
    <w:rsid w:val="009F54FF"/>
    <w:rsid w:val="00A066E7"/>
    <w:rsid w:val="00AA7684"/>
    <w:rsid w:val="00AC220E"/>
    <w:rsid w:val="00B03C0E"/>
    <w:rsid w:val="00B279D8"/>
    <w:rsid w:val="00B825B4"/>
    <w:rsid w:val="00BB055E"/>
    <w:rsid w:val="00C11B00"/>
    <w:rsid w:val="00C251BE"/>
    <w:rsid w:val="00C42167"/>
    <w:rsid w:val="00C44B5C"/>
    <w:rsid w:val="00C8297E"/>
    <w:rsid w:val="00CF2352"/>
    <w:rsid w:val="00D144A1"/>
    <w:rsid w:val="00D32B98"/>
    <w:rsid w:val="00D530F7"/>
    <w:rsid w:val="00DA78EE"/>
    <w:rsid w:val="00DE1BD5"/>
    <w:rsid w:val="00E1496B"/>
    <w:rsid w:val="00E425B7"/>
    <w:rsid w:val="00E45D82"/>
    <w:rsid w:val="00E524B7"/>
    <w:rsid w:val="00E77790"/>
    <w:rsid w:val="00E83485"/>
    <w:rsid w:val="00EC64B1"/>
    <w:rsid w:val="00F0375C"/>
    <w:rsid w:val="00F45A8B"/>
    <w:rsid w:val="00F77C23"/>
    <w:rsid w:val="00F81CDB"/>
    <w:rsid w:val="00F87B47"/>
    <w:rsid w:val="00FA0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1BEF"/>
  <w15:docId w15:val="{3139E13C-0F74-4854-B6E5-85470A63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ind w:left="357" w:right="3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34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11pt">
    <w:name w:val="Überschr. 11 pt"/>
    <w:aliases w:val="nach 6 pt"/>
    <w:basedOn w:val="Standard"/>
    <w:qFormat/>
    <w:rsid w:val="00AC220E"/>
    <w:pPr>
      <w:spacing w:before="0" w:after="120"/>
      <w:ind w:left="0" w:right="0"/>
      <w:jc w:val="left"/>
    </w:pPr>
    <w:rPr>
      <w:rFonts w:ascii="Arial" w:eastAsia="SimSun" w:hAnsi="Arial" w:cs="Times New Roman"/>
      <w:b/>
      <w:sz w:val="24"/>
      <w:szCs w:val="40"/>
      <w:lang w:eastAsia="zh-CN"/>
    </w:rPr>
  </w:style>
  <w:style w:type="paragraph" w:styleId="Listenabsatz">
    <w:name w:val="List Paragraph"/>
    <w:basedOn w:val="Standard"/>
    <w:uiPriority w:val="34"/>
    <w:qFormat/>
    <w:rsid w:val="000A1CA6"/>
    <w:pPr>
      <w:ind w:left="720"/>
      <w:contextualSpacing/>
    </w:pPr>
  </w:style>
  <w:style w:type="character" w:styleId="Hyperlink">
    <w:name w:val="Hyperlink"/>
    <w:basedOn w:val="Absatz-Standardschriftart"/>
    <w:uiPriority w:val="99"/>
    <w:unhideWhenUsed/>
    <w:rsid w:val="000A1CA6"/>
    <w:rPr>
      <w:color w:val="0000FF" w:themeColor="hyperlink"/>
      <w:u w:val="single"/>
    </w:rPr>
  </w:style>
  <w:style w:type="paragraph" w:styleId="Sprechblasentext">
    <w:name w:val="Balloon Text"/>
    <w:basedOn w:val="Standard"/>
    <w:link w:val="SprechblasentextZchn"/>
    <w:uiPriority w:val="99"/>
    <w:semiHidden/>
    <w:unhideWhenUsed/>
    <w:rsid w:val="000E6D0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IZW</cp:lastModifiedBy>
  <cp:revision>3</cp:revision>
  <cp:lastPrinted>2016-03-02T11:45:00Z</cp:lastPrinted>
  <dcterms:created xsi:type="dcterms:W3CDTF">2022-10-31T15:43:00Z</dcterms:created>
  <dcterms:modified xsi:type="dcterms:W3CDTF">2022-10-31T15:45:00Z</dcterms:modified>
</cp:coreProperties>
</file>